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F101A" w14:textId="4A995C6F" w:rsidR="007E5DE5" w:rsidRDefault="00FB7D88">
      <w:pPr>
        <w:jc w:val="center"/>
      </w:pPr>
      <w:bookmarkStart w:id="0" w:name="_GoBack"/>
      <w:bookmarkEnd w:id="0"/>
      <w:r>
        <w:rPr>
          <w:rFonts w:ascii="Cambria" w:eastAsia="Cambria" w:hAnsi="Cambria" w:cs="Cambria"/>
          <w:color w:val="365F91"/>
          <w:sz w:val="32"/>
          <w:szCs w:val="32"/>
        </w:rPr>
        <w:t>Role Description</w:t>
      </w:r>
    </w:p>
    <w:p w14:paraId="09D98493" w14:textId="77777777" w:rsidR="007E5DE5" w:rsidRDefault="00FB7D88">
      <w:r>
        <w:rPr>
          <w:rFonts w:ascii="Cambria" w:eastAsia="Cambria" w:hAnsi="Cambria" w:cs="Cambria"/>
          <w:color w:val="365F91"/>
          <w:sz w:val="28"/>
          <w:szCs w:val="28"/>
        </w:rPr>
        <w:t>Head of Corporate v1.00</w:t>
      </w:r>
    </w:p>
    <w:p w14:paraId="78BFA7AF" w14:textId="77777777" w:rsidR="007E5DE5" w:rsidRDefault="00FB7D88">
      <w:r>
        <w:rPr>
          <w:rFonts w:ascii="Cambria" w:eastAsia="Cambria" w:hAnsi="Cambria" w:cs="Cambria"/>
          <w:b/>
          <w:bCs/>
          <w:color w:val="365F91"/>
          <w:sz w:val="20"/>
          <w:szCs w:val="20"/>
        </w:rPr>
        <w:t>Status: Approved</w:t>
      </w:r>
      <w:r>
        <w:br/>
      </w:r>
      <w:r>
        <w:rPr>
          <w:rFonts w:ascii="Cambria" w:eastAsia="Cambria" w:hAnsi="Cambria" w:cs="Cambria"/>
          <w:b/>
          <w:bCs/>
          <w:color w:val="365F91"/>
          <w:sz w:val="20"/>
          <w:szCs w:val="20"/>
        </w:rPr>
        <w:t>Band Size: 6.35</w:t>
      </w:r>
    </w:p>
    <w:p w14:paraId="6B90CBD3" w14:textId="77777777" w:rsidR="007E5DE5" w:rsidRDefault="007E5DE5"/>
    <w:p w14:paraId="2CE8432F" w14:textId="77777777" w:rsidR="007E5DE5" w:rsidRDefault="00FB7D88">
      <w:r>
        <w:rPr>
          <w:rFonts w:ascii="Cambria" w:eastAsia="Cambria" w:hAnsi="Cambria" w:cs="Cambria"/>
          <w:color w:val="365F91"/>
          <w:sz w:val="26"/>
          <w:szCs w:val="26"/>
        </w:rPr>
        <w:t>About our Organisation</w:t>
      </w:r>
    </w:p>
    <w:p w14:paraId="65661A58" w14:textId="77777777" w:rsidR="007E5DE5" w:rsidRDefault="00FB7D88">
      <w:r>
        <w:t xml:space="preserve">The Suva City Council serves as the municipal legislative authority for Suva, the capital of Fiji. It is composed of 20 Councilors, each elected for a three-year term from four multi-member wards. These Councilors are chosen by a voting body that includes </w:t>
      </w:r>
      <w:r>
        <w:t>residents, landowners, and representatives of corporations that own or occupy ratable property within the city. From among themselves, the Councilors elect a Lord Mayor and Deputy Lord Mayor, both of whom serve one-year terms and may be re-elected. However</w:t>
      </w:r>
      <w:r>
        <w:t>, following the dismissal of the elected Councilors by the interim military government, the Council has since been administered by a Special Administrator appointed by the Ministry of Local Government.</w:t>
      </w:r>
    </w:p>
    <w:p w14:paraId="190D8B9F" w14:textId="77777777" w:rsidR="007E5DE5" w:rsidRDefault="007E5DE5"/>
    <w:p w14:paraId="37B20A96" w14:textId="77777777" w:rsidR="007E5DE5" w:rsidRDefault="00FB7D88">
      <w:r>
        <w:rPr>
          <w:rFonts w:ascii="Cambria" w:eastAsia="Cambria" w:hAnsi="Cambria" w:cs="Cambria"/>
          <w:color w:val="365F91"/>
          <w:sz w:val="26"/>
          <w:szCs w:val="26"/>
        </w:rPr>
        <w:t>Objective</w:t>
      </w:r>
      <w:r>
        <w:br/>
        <w:t>The Head of Corporate leads and manages Suv</w:t>
      </w:r>
      <w:r>
        <w:t>a City Council’s corporate functions to ensure effective governance, accountability, and operational excellence across finance, human resources, information and communications technology, and administration. The role is responsible for driving financial su</w:t>
      </w:r>
      <w:r>
        <w:t>stainability, workforce capability, and compliance with legislative and regulatory standards. It ensures that corporate systems and processes enable efficient service delivery, informed decision-making, and continuous improvement across the organisation. T</w:t>
      </w:r>
      <w:r>
        <w:t>he position provides high-level strategic and operational support to the Chief Executive Officer and the Council.</w:t>
      </w:r>
      <w: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7E5DE5" w14:paraId="53AD796D" w14:textId="77777777">
        <w:trPr>
          <w:tblHeader/>
        </w:trPr>
        <w:tc>
          <w:tcPr>
            <w:tcW w:w="0" w:type="auto"/>
            <w:noWrap/>
          </w:tcPr>
          <w:p w14:paraId="444CDC55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6"/>
                <w:szCs w:val="26"/>
              </w:rPr>
              <w:t>Outcomes</w:t>
            </w:r>
          </w:p>
        </w:tc>
      </w:tr>
      <w:tr w:rsidR="007E5DE5" w14:paraId="57BEBCE6" w14:textId="77777777">
        <w:tc>
          <w:tcPr>
            <w:tcW w:w="0" w:type="auto"/>
            <w:noWrap/>
          </w:tcPr>
          <w:p w14:paraId="41182E8D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Organisational Stakeholders</w:t>
            </w:r>
          </w:p>
        </w:tc>
      </w:tr>
      <w:tr w:rsidR="007E5DE5" w14:paraId="7DABBD28" w14:textId="77777777">
        <w:tc>
          <w:tcPr>
            <w:tcW w:w="0" w:type="auto"/>
            <w:noWrap/>
          </w:tcPr>
          <w:p w14:paraId="4B61B00D" w14:textId="77777777" w:rsidR="007E5DE5" w:rsidRDefault="00FB7D88">
            <w:r>
              <w:t>1. Strategic Leadership</w:t>
            </w:r>
          </w:p>
        </w:tc>
      </w:tr>
      <w:tr w:rsidR="007E5DE5" w14:paraId="17852249" w14:textId="77777777">
        <w:tc>
          <w:tcPr>
            <w:tcW w:w="0" w:type="auto"/>
            <w:noWrap/>
          </w:tcPr>
          <w:p w14:paraId="4084B0F3" w14:textId="77777777" w:rsidR="007E5DE5" w:rsidRDefault="00FB7D88">
            <w:pPr>
              <w:numPr>
                <w:ilvl w:val="0"/>
                <w:numId w:val="1"/>
              </w:numPr>
            </w:pPr>
            <w:r>
              <w:t xml:space="preserve">Corporate strategies that support the Council’s overall vision and long-term </w:t>
            </w:r>
            <w:r>
              <w:t>plan are developed and implemented effectively.</w:t>
            </w:r>
          </w:p>
          <w:p w14:paraId="3D853936" w14:textId="77777777" w:rsidR="007E5DE5" w:rsidRDefault="00FB7D88">
            <w:pPr>
              <w:numPr>
                <w:ilvl w:val="0"/>
                <w:numId w:val="1"/>
              </w:numPr>
            </w:pPr>
            <w:r>
              <w:t>Strategic advice and analysis are provided to the CEO and Council to support informed decision-making, operational efficiency, and policy alignment.</w:t>
            </w:r>
          </w:p>
          <w:p w14:paraId="3AF0ABC7" w14:textId="77777777" w:rsidR="007E5DE5" w:rsidRDefault="00FB7D88">
            <w:pPr>
              <w:numPr>
                <w:ilvl w:val="0"/>
                <w:numId w:val="1"/>
              </w:numPr>
            </w:pPr>
            <w:r>
              <w:t xml:space="preserve">Annual and medium-term corporate plans are integrated with </w:t>
            </w:r>
            <w:r>
              <w:t>financial, HR, and operational priorities.</w:t>
            </w:r>
          </w:p>
          <w:p w14:paraId="3DFABEFE" w14:textId="77777777" w:rsidR="007E5DE5" w:rsidRDefault="00FB7D88">
            <w:pPr>
              <w:numPr>
                <w:ilvl w:val="0"/>
                <w:numId w:val="1"/>
              </w:numPr>
            </w:pPr>
            <w:r>
              <w:t>Council’s performance management framework is implemented, monitored, and reported on quarterly and annually.</w:t>
            </w:r>
          </w:p>
          <w:p w14:paraId="577DFDF9" w14:textId="77777777" w:rsidR="007E5DE5" w:rsidRDefault="00FB7D88">
            <w:pPr>
              <w:numPr>
                <w:ilvl w:val="0"/>
                <w:numId w:val="1"/>
              </w:numPr>
            </w:pPr>
            <w:r>
              <w:t>Risk management and business continuity strategies are embedded across corporate functions.</w:t>
            </w:r>
          </w:p>
        </w:tc>
      </w:tr>
      <w:tr w:rsidR="007E5DE5" w14:paraId="154689AE" w14:textId="77777777">
        <w:tc>
          <w:tcPr>
            <w:tcW w:w="0" w:type="auto"/>
            <w:noWrap/>
          </w:tcPr>
          <w:p w14:paraId="6981026A" w14:textId="77777777" w:rsidR="007E5DE5" w:rsidRDefault="00FB7D88">
            <w:r>
              <w:lastRenderedPageBreak/>
              <w:t>2. Financi</w:t>
            </w:r>
            <w:r>
              <w:t>al Management</w:t>
            </w:r>
          </w:p>
        </w:tc>
      </w:tr>
      <w:tr w:rsidR="007E5DE5" w14:paraId="73038EC9" w14:textId="77777777">
        <w:tc>
          <w:tcPr>
            <w:tcW w:w="0" w:type="auto"/>
            <w:noWrap/>
          </w:tcPr>
          <w:p w14:paraId="4E1CA4A3" w14:textId="77777777" w:rsidR="007E5DE5" w:rsidRDefault="00FB7D88">
            <w:pPr>
              <w:numPr>
                <w:ilvl w:val="0"/>
                <w:numId w:val="2"/>
              </w:numPr>
            </w:pPr>
            <w:r>
              <w:t>Annual budgets, financial statements, and performance reports are prepared in compliance with the Local Government Act, Audit Act, and financial management standards.</w:t>
            </w:r>
          </w:p>
          <w:p w14:paraId="3BE4E58B" w14:textId="77777777" w:rsidR="007E5DE5" w:rsidRDefault="00FB7D88">
            <w:pPr>
              <w:numPr>
                <w:ilvl w:val="0"/>
                <w:numId w:val="2"/>
              </w:numPr>
            </w:pPr>
            <w:r>
              <w:t>Financial policies and procedures are maintained to ensure accuracy, trans</w:t>
            </w:r>
            <w:r>
              <w:t>parency, and accountability in all transactions.</w:t>
            </w:r>
          </w:p>
          <w:p w14:paraId="5746E7A7" w14:textId="77777777" w:rsidR="007E5DE5" w:rsidRDefault="00FB7D88">
            <w:pPr>
              <w:numPr>
                <w:ilvl w:val="0"/>
                <w:numId w:val="2"/>
              </w:numPr>
            </w:pPr>
            <w:r>
              <w:t>Revenue collection and expenditure management are monitored to maintain financial sustainability.</w:t>
            </w:r>
          </w:p>
          <w:p w14:paraId="5631C98F" w14:textId="77777777" w:rsidR="007E5DE5" w:rsidRDefault="00FB7D88">
            <w:pPr>
              <w:numPr>
                <w:ilvl w:val="0"/>
                <w:numId w:val="2"/>
              </w:numPr>
            </w:pPr>
            <w:r>
              <w:t>Internal and external audit recommendations are implemented within agreed timeframes.</w:t>
            </w:r>
          </w:p>
          <w:p w14:paraId="4F0E4F43" w14:textId="77777777" w:rsidR="007E5DE5" w:rsidRDefault="00FB7D88">
            <w:pPr>
              <w:numPr>
                <w:ilvl w:val="0"/>
                <w:numId w:val="2"/>
              </w:numPr>
            </w:pPr>
            <w:r>
              <w:t>Financial planning supp</w:t>
            </w:r>
            <w:r>
              <w:t>orts long-term asset management and capital investment strategies.</w:t>
            </w:r>
          </w:p>
        </w:tc>
      </w:tr>
      <w:tr w:rsidR="007E5DE5" w14:paraId="3CC6E263" w14:textId="77777777">
        <w:tc>
          <w:tcPr>
            <w:tcW w:w="0" w:type="auto"/>
            <w:noWrap/>
          </w:tcPr>
          <w:p w14:paraId="6A899FDD" w14:textId="77777777" w:rsidR="007E5DE5" w:rsidRDefault="00FB7D88">
            <w:r>
              <w:t>3. Human Resources and Organisational Development</w:t>
            </w:r>
          </w:p>
        </w:tc>
      </w:tr>
      <w:tr w:rsidR="007E5DE5" w14:paraId="395E9F4F" w14:textId="77777777">
        <w:tc>
          <w:tcPr>
            <w:tcW w:w="0" w:type="auto"/>
            <w:noWrap/>
          </w:tcPr>
          <w:p w14:paraId="34E7C888" w14:textId="77777777" w:rsidR="007E5DE5" w:rsidRDefault="00FB7D88">
            <w:pPr>
              <w:numPr>
                <w:ilvl w:val="0"/>
                <w:numId w:val="3"/>
              </w:numPr>
            </w:pPr>
            <w:r>
              <w:t>HR policies, workforce planning, and recruitment processes are implemented in line with Council and legal requirements.</w:t>
            </w:r>
          </w:p>
          <w:p w14:paraId="3B04D7B5" w14:textId="77777777" w:rsidR="007E5DE5" w:rsidRDefault="00FB7D88">
            <w:pPr>
              <w:numPr>
                <w:ilvl w:val="0"/>
                <w:numId w:val="3"/>
              </w:numPr>
            </w:pPr>
            <w:r>
              <w:t xml:space="preserve">Performance </w:t>
            </w:r>
            <w:r>
              <w:t>management and staff appraisal systems are applied consistently across all divisions.</w:t>
            </w:r>
          </w:p>
          <w:p w14:paraId="43D40D7A" w14:textId="77777777" w:rsidR="007E5DE5" w:rsidRDefault="00FB7D88">
            <w:pPr>
              <w:numPr>
                <w:ilvl w:val="0"/>
                <w:numId w:val="3"/>
              </w:numPr>
            </w:pPr>
            <w:r>
              <w:t>Learning, development, and succession planning initiatives are designed and monitored to strengthen workforce capability.</w:t>
            </w:r>
          </w:p>
          <w:p w14:paraId="3915C92D" w14:textId="77777777" w:rsidR="007E5DE5" w:rsidRDefault="00FB7D88">
            <w:pPr>
              <w:numPr>
                <w:ilvl w:val="0"/>
                <w:numId w:val="3"/>
              </w:numPr>
            </w:pPr>
            <w:r>
              <w:t>Staff relations, disciplinary processes, and OHS</w:t>
            </w:r>
            <w:r>
              <w:t xml:space="preserve"> compliance are managed in accordance with the Employment Relations Act.</w:t>
            </w:r>
          </w:p>
          <w:p w14:paraId="13D3A49C" w14:textId="77777777" w:rsidR="007E5DE5" w:rsidRDefault="00FB7D88">
            <w:pPr>
              <w:numPr>
                <w:ilvl w:val="0"/>
                <w:numId w:val="3"/>
              </w:numPr>
            </w:pPr>
            <w:r>
              <w:t>Diversity, inclusion, and wellness initiatives are promoted across the organisation.</w:t>
            </w:r>
          </w:p>
        </w:tc>
      </w:tr>
      <w:tr w:rsidR="007E5DE5" w14:paraId="212FD19D" w14:textId="77777777">
        <w:tc>
          <w:tcPr>
            <w:tcW w:w="0" w:type="auto"/>
            <w:noWrap/>
          </w:tcPr>
          <w:p w14:paraId="7E125ABC" w14:textId="77777777" w:rsidR="007E5DE5" w:rsidRDefault="00FB7D88">
            <w:r>
              <w:t>4. ICT and Information Management</w:t>
            </w:r>
          </w:p>
        </w:tc>
      </w:tr>
      <w:tr w:rsidR="007E5DE5" w14:paraId="7D3CEB15" w14:textId="77777777">
        <w:tc>
          <w:tcPr>
            <w:tcW w:w="0" w:type="auto"/>
            <w:noWrap/>
          </w:tcPr>
          <w:p w14:paraId="42893C7E" w14:textId="77777777" w:rsidR="007E5DE5" w:rsidRDefault="00FB7D88">
            <w:pPr>
              <w:numPr>
                <w:ilvl w:val="0"/>
                <w:numId w:val="4"/>
              </w:numPr>
            </w:pPr>
            <w:r>
              <w:t>ICT strategy supports the Council’s service delivery and admin</w:t>
            </w:r>
            <w:r>
              <w:t>istrative efficiency objectives.</w:t>
            </w:r>
          </w:p>
          <w:p w14:paraId="25E27A0D" w14:textId="77777777" w:rsidR="007E5DE5" w:rsidRDefault="00FB7D88">
            <w:pPr>
              <w:numPr>
                <w:ilvl w:val="0"/>
                <w:numId w:val="4"/>
              </w:numPr>
            </w:pPr>
            <w:r>
              <w:t>Information systems and data governance policies are maintained to ensure accuracy, accessibility, and security.</w:t>
            </w:r>
          </w:p>
          <w:p w14:paraId="7C711B1D" w14:textId="77777777" w:rsidR="007E5DE5" w:rsidRDefault="00FB7D88">
            <w:pPr>
              <w:numPr>
                <w:ilvl w:val="0"/>
                <w:numId w:val="4"/>
              </w:numPr>
            </w:pPr>
            <w:r>
              <w:t>Digital transformation projects are implemented to improve internal processes and customer access to services.</w:t>
            </w:r>
          </w:p>
          <w:p w14:paraId="1A2A11F0" w14:textId="77777777" w:rsidR="007E5DE5" w:rsidRDefault="00FB7D88">
            <w:pPr>
              <w:numPr>
                <w:ilvl w:val="0"/>
                <w:numId w:val="4"/>
              </w:numPr>
            </w:pPr>
            <w:r>
              <w:t>Records management systems comply with national information standards and retention requirements.</w:t>
            </w:r>
          </w:p>
          <w:p w14:paraId="5AFED4F7" w14:textId="77777777" w:rsidR="007E5DE5" w:rsidRDefault="00FB7D88">
            <w:pPr>
              <w:numPr>
                <w:ilvl w:val="0"/>
                <w:numId w:val="4"/>
              </w:numPr>
            </w:pPr>
            <w:r>
              <w:t>ICT risks, including cybersecurity, are managed through regular monitoring and staff awareness programmes.</w:t>
            </w:r>
          </w:p>
        </w:tc>
      </w:tr>
      <w:tr w:rsidR="007E5DE5" w14:paraId="7806FAB1" w14:textId="77777777">
        <w:tc>
          <w:tcPr>
            <w:tcW w:w="0" w:type="auto"/>
            <w:noWrap/>
          </w:tcPr>
          <w:p w14:paraId="25137F4A" w14:textId="77777777" w:rsidR="007E5DE5" w:rsidRDefault="00FB7D88">
            <w:r>
              <w:t>5. Corporate Governance and Compliance</w:t>
            </w:r>
          </w:p>
        </w:tc>
      </w:tr>
      <w:tr w:rsidR="007E5DE5" w14:paraId="3A9491B9" w14:textId="77777777">
        <w:tc>
          <w:tcPr>
            <w:tcW w:w="0" w:type="auto"/>
            <w:noWrap/>
          </w:tcPr>
          <w:p w14:paraId="3ECC5D13" w14:textId="77777777" w:rsidR="007E5DE5" w:rsidRDefault="00FB7D88">
            <w:pPr>
              <w:numPr>
                <w:ilvl w:val="0"/>
                <w:numId w:val="5"/>
              </w:numPr>
            </w:pPr>
            <w:r>
              <w:t>Complianc</w:t>
            </w:r>
            <w:r>
              <w:t>e with all legislative, audit, and regulatory obligations is ensured and reported to Council.</w:t>
            </w:r>
          </w:p>
          <w:p w14:paraId="411B76A6" w14:textId="77777777" w:rsidR="007E5DE5" w:rsidRDefault="00FB7D88">
            <w:pPr>
              <w:numPr>
                <w:ilvl w:val="0"/>
                <w:numId w:val="5"/>
              </w:numPr>
            </w:pPr>
            <w:r>
              <w:t>Corporate policies and frameworks are reviewed regularly to align with statutory changes and governance best practice.</w:t>
            </w:r>
          </w:p>
          <w:p w14:paraId="55A3827D" w14:textId="77777777" w:rsidR="007E5DE5" w:rsidRDefault="00FB7D88">
            <w:pPr>
              <w:numPr>
                <w:ilvl w:val="0"/>
                <w:numId w:val="5"/>
              </w:numPr>
            </w:pPr>
            <w:r>
              <w:lastRenderedPageBreak/>
              <w:t xml:space="preserve">Council reporting, documentation, and </w:t>
            </w:r>
            <w:r>
              <w:t>public disclosures are timely and accurate.</w:t>
            </w:r>
          </w:p>
          <w:p w14:paraId="7CD1DA7C" w14:textId="77777777" w:rsidR="007E5DE5" w:rsidRDefault="00FB7D88">
            <w:pPr>
              <w:numPr>
                <w:ilvl w:val="0"/>
                <w:numId w:val="5"/>
              </w:numPr>
            </w:pPr>
            <w:r>
              <w:t>Internal controls are maintained to prevent fraud, waste, or misuse of public funds.</w:t>
            </w:r>
          </w:p>
          <w:p w14:paraId="19B7C887" w14:textId="77777777" w:rsidR="007E5DE5" w:rsidRDefault="00FB7D88">
            <w:pPr>
              <w:numPr>
                <w:ilvl w:val="0"/>
                <w:numId w:val="5"/>
              </w:numPr>
            </w:pPr>
            <w:r>
              <w:t>Engagement with oversight bodies, including the Ministry of Local Government and the Auditor-General, is managed effectively.</w:t>
            </w:r>
          </w:p>
        </w:tc>
      </w:tr>
      <w:tr w:rsidR="007E5DE5" w14:paraId="5C3F734C" w14:textId="77777777">
        <w:tc>
          <w:tcPr>
            <w:tcW w:w="0" w:type="auto"/>
            <w:noWrap/>
          </w:tcPr>
          <w:p w14:paraId="70A74643" w14:textId="77777777" w:rsidR="007E5DE5" w:rsidRDefault="00FB7D88">
            <w:r>
              <w:lastRenderedPageBreak/>
              <w:t>6. Administration and Support Services</w:t>
            </w:r>
          </w:p>
        </w:tc>
      </w:tr>
      <w:tr w:rsidR="007E5DE5" w14:paraId="44E775EA" w14:textId="77777777">
        <w:tc>
          <w:tcPr>
            <w:tcW w:w="0" w:type="auto"/>
            <w:noWrap/>
          </w:tcPr>
          <w:p w14:paraId="0937074D" w14:textId="77777777" w:rsidR="007E5DE5" w:rsidRDefault="00FB7D88">
            <w:pPr>
              <w:numPr>
                <w:ilvl w:val="0"/>
                <w:numId w:val="6"/>
              </w:numPr>
            </w:pPr>
            <w:r>
              <w:t>Administrative, procurement, and facility management processes are streamlined to support service efficiency.</w:t>
            </w:r>
          </w:p>
          <w:p w14:paraId="1F1FBC8A" w14:textId="77777777" w:rsidR="007E5DE5" w:rsidRDefault="00FB7D88">
            <w:pPr>
              <w:numPr>
                <w:ilvl w:val="0"/>
                <w:numId w:val="6"/>
              </w:numPr>
            </w:pPr>
            <w:r>
              <w:t>Procurement practices comply with public sector procurement guidelines and promote value for money.</w:t>
            </w:r>
          </w:p>
          <w:p w14:paraId="1F90AA04" w14:textId="77777777" w:rsidR="007E5DE5" w:rsidRDefault="00FB7D88">
            <w:pPr>
              <w:numPr>
                <w:ilvl w:val="0"/>
                <w:numId w:val="6"/>
              </w:numPr>
            </w:pPr>
            <w:r>
              <w:t>Logist</w:t>
            </w:r>
            <w:r>
              <w:t>ics, fleet, and asset management systems are maintained to ensure operational reliability.</w:t>
            </w:r>
          </w:p>
          <w:p w14:paraId="0BD7118E" w14:textId="77777777" w:rsidR="007E5DE5" w:rsidRDefault="00FB7D88">
            <w:pPr>
              <w:numPr>
                <w:ilvl w:val="0"/>
                <w:numId w:val="6"/>
              </w:numPr>
            </w:pPr>
            <w:r>
              <w:t>Council correspondence, recordkeeping, and internal communication systems are timely and well-coordinated.</w:t>
            </w:r>
          </w:p>
          <w:p w14:paraId="54C92D9B" w14:textId="77777777" w:rsidR="007E5DE5" w:rsidRDefault="00FB7D88">
            <w:pPr>
              <w:numPr>
                <w:ilvl w:val="0"/>
                <w:numId w:val="6"/>
              </w:numPr>
            </w:pPr>
            <w:r>
              <w:t>Emergency and contingency plans for administrative functio</w:t>
            </w:r>
            <w:r>
              <w:t>ns are developed, tested, and updated regularly.</w:t>
            </w:r>
          </w:p>
        </w:tc>
      </w:tr>
    </w:tbl>
    <w:p w14:paraId="7EA36D58" w14:textId="77777777" w:rsidR="007E5DE5" w:rsidRDefault="007E5DE5"/>
    <w:p w14:paraId="5EA6B2EA" w14:textId="77777777" w:rsidR="007E5DE5" w:rsidRDefault="00FB7D88">
      <w:r>
        <w:rPr>
          <w:rFonts w:ascii="Cambria" w:eastAsia="Cambria" w:hAnsi="Cambria" w:cs="Cambria"/>
          <w:color w:val="365F91"/>
          <w:sz w:val="26"/>
          <w:szCs w:val="26"/>
        </w:rPr>
        <w:t>Performance Measures</w:t>
      </w:r>
      <w:r>
        <w:br/>
        <w:t>No performance measures found.</w:t>
      </w:r>
      <w:r>
        <w:br/>
      </w:r>
    </w:p>
    <w:p w14:paraId="3C2AB537" w14:textId="77777777" w:rsidR="007E5DE5" w:rsidRDefault="00FB7D88">
      <w:r>
        <w:rPr>
          <w:rFonts w:ascii="Cambria" w:eastAsia="Cambria" w:hAnsi="Cambria" w:cs="Cambria"/>
          <w:color w:val="365F91"/>
          <w:sz w:val="26"/>
          <w:szCs w:val="26"/>
        </w:rPr>
        <w:t>Responsibilities - Critical Competencies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3"/>
        <w:gridCol w:w="6708"/>
      </w:tblGrid>
      <w:tr w:rsidR="007E5DE5" w14:paraId="32EE036F" w14:textId="77777777">
        <w:trPr>
          <w:tblHeader/>
        </w:trPr>
        <w:tc>
          <w:tcPr>
            <w:tcW w:w="1250" w:type="dxa"/>
            <w:noWrap/>
          </w:tcPr>
          <w:p w14:paraId="4D76E2A2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Competence</w:t>
            </w:r>
          </w:p>
        </w:tc>
        <w:tc>
          <w:tcPr>
            <w:tcW w:w="3750" w:type="dxa"/>
            <w:noWrap/>
          </w:tcPr>
          <w:p w14:paraId="64E15104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Description</w:t>
            </w:r>
          </w:p>
        </w:tc>
      </w:tr>
      <w:tr w:rsidR="007E5DE5" w14:paraId="4726057B" w14:textId="77777777">
        <w:tc>
          <w:tcPr>
            <w:tcW w:w="5000" w:type="dxa"/>
            <w:gridSpan w:val="2"/>
            <w:noWrap/>
          </w:tcPr>
          <w:p w14:paraId="70069243" w14:textId="77777777" w:rsidR="007E5DE5" w:rsidRDefault="00FB7D88"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</w:rPr>
              <w:t>Business</w:t>
            </w:r>
          </w:p>
        </w:tc>
      </w:tr>
      <w:tr w:rsidR="007E5DE5" w14:paraId="322B1557" w14:textId="77777777">
        <w:tc>
          <w:tcPr>
            <w:tcW w:w="1250" w:type="dxa"/>
            <w:noWrap/>
          </w:tcPr>
          <w:p w14:paraId="18AD2451" w14:textId="77777777" w:rsidR="007E5DE5" w:rsidRDefault="00FB7D88">
            <w:r>
              <w:t>Business Performance</w:t>
            </w:r>
          </w:p>
        </w:tc>
        <w:tc>
          <w:tcPr>
            <w:tcW w:w="3750" w:type="dxa"/>
            <w:noWrap/>
          </w:tcPr>
          <w:p w14:paraId="4556E8BB" w14:textId="77777777" w:rsidR="007E5DE5" w:rsidRDefault="00FB7D88">
            <w:r>
              <w:t xml:space="preserve">Establish performance management measures managing </w:t>
            </w:r>
            <w:r>
              <w:t>adjustments and variations</w:t>
            </w:r>
          </w:p>
        </w:tc>
      </w:tr>
      <w:tr w:rsidR="007E5DE5" w14:paraId="6CF4A096" w14:textId="77777777">
        <w:tc>
          <w:tcPr>
            <w:tcW w:w="1250" w:type="dxa"/>
            <w:noWrap/>
          </w:tcPr>
          <w:p w14:paraId="39DE886B" w14:textId="77777777" w:rsidR="007E5DE5" w:rsidRDefault="00FB7D88">
            <w:r>
              <w:t>Planning</w:t>
            </w:r>
          </w:p>
        </w:tc>
        <w:tc>
          <w:tcPr>
            <w:tcW w:w="3750" w:type="dxa"/>
            <w:noWrap/>
          </w:tcPr>
          <w:p w14:paraId="2924343C" w14:textId="77777777" w:rsidR="007E5DE5" w:rsidRDefault="00FB7D88">
            <w:r>
              <w:t>Develop an operations plan to define specific objectives.</w:t>
            </w:r>
          </w:p>
        </w:tc>
      </w:tr>
      <w:tr w:rsidR="007E5DE5" w14:paraId="4E4B0488" w14:textId="77777777">
        <w:tc>
          <w:tcPr>
            <w:tcW w:w="1250" w:type="dxa"/>
            <w:noWrap/>
          </w:tcPr>
          <w:p w14:paraId="7FC17C92" w14:textId="77777777" w:rsidR="007E5DE5" w:rsidRDefault="00FB7D88">
            <w:r>
              <w:t>Systems and Procedures</w:t>
            </w:r>
          </w:p>
        </w:tc>
        <w:tc>
          <w:tcPr>
            <w:tcW w:w="3750" w:type="dxa"/>
            <w:noWrap/>
          </w:tcPr>
          <w:p w14:paraId="3CD4E466" w14:textId="77777777" w:rsidR="007E5DE5" w:rsidRDefault="00FB7D88">
            <w:r>
              <w:t>Undertake defined modifications/reviews to procedures; draft manuals/instructions.</w:t>
            </w:r>
          </w:p>
        </w:tc>
      </w:tr>
      <w:tr w:rsidR="007E5DE5" w14:paraId="3AE1BFC7" w14:textId="77777777">
        <w:tc>
          <w:tcPr>
            <w:tcW w:w="5000" w:type="dxa"/>
            <w:gridSpan w:val="2"/>
            <w:noWrap/>
          </w:tcPr>
          <w:p w14:paraId="2EF9A954" w14:textId="77777777" w:rsidR="007E5DE5" w:rsidRDefault="00FB7D88"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</w:rPr>
              <w:t>Customer</w:t>
            </w:r>
          </w:p>
        </w:tc>
      </w:tr>
      <w:tr w:rsidR="007E5DE5" w14:paraId="536C43FB" w14:textId="77777777">
        <w:tc>
          <w:tcPr>
            <w:tcW w:w="1250" w:type="dxa"/>
            <w:noWrap/>
          </w:tcPr>
          <w:p w14:paraId="0186FAFB" w14:textId="77777777" w:rsidR="007E5DE5" w:rsidRDefault="00FB7D88">
            <w:r>
              <w:t>Relationship Building</w:t>
            </w:r>
          </w:p>
        </w:tc>
        <w:tc>
          <w:tcPr>
            <w:tcW w:w="3750" w:type="dxa"/>
            <w:noWrap/>
          </w:tcPr>
          <w:p w14:paraId="32571FD0" w14:textId="77777777" w:rsidR="007E5DE5" w:rsidRDefault="00FB7D88">
            <w:r>
              <w:t xml:space="preserve">Formalise business </w:t>
            </w:r>
            <w:r>
              <w:t>relationships through partnerships or agreements of mutual benefit e.g. service provision.</w:t>
            </w:r>
          </w:p>
        </w:tc>
      </w:tr>
      <w:tr w:rsidR="007E5DE5" w14:paraId="6D638FF3" w14:textId="77777777">
        <w:tc>
          <w:tcPr>
            <w:tcW w:w="1250" w:type="dxa"/>
            <w:noWrap/>
          </w:tcPr>
          <w:p w14:paraId="7B78DC38" w14:textId="77777777" w:rsidR="007E5DE5" w:rsidRDefault="00FB7D88">
            <w:r>
              <w:t>Organisational Values</w:t>
            </w:r>
          </w:p>
        </w:tc>
        <w:tc>
          <w:tcPr>
            <w:tcW w:w="3750" w:type="dxa"/>
            <w:noWrap/>
          </w:tcPr>
          <w:p w14:paraId="66A54561" w14:textId="77777777" w:rsidR="007E5DE5" w:rsidRDefault="00FB7D88">
            <w:r>
              <w:t>Evaluate organisational activities and behaviours; review and update standards.</w:t>
            </w:r>
          </w:p>
        </w:tc>
      </w:tr>
      <w:tr w:rsidR="007E5DE5" w14:paraId="13346B2A" w14:textId="77777777">
        <w:tc>
          <w:tcPr>
            <w:tcW w:w="1250" w:type="dxa"/>
            <w:noWrap/>
          </w:tcPr>
          <w:p w14:paraId="1F9644D5" w14:textId="77777777" w:rsidR="007E5DE5" w:rsidRDefault="00FB7D88">
            <w:r>
              <w:t>Social and Cultural Awareness</w:t>
            </w:r>
          </w:p>
        </w:tc>
        <w:tc>
          <w:tcPr>
            <w:tcW w:w="3750" w:type="dxa"/>
            <w:noWrap/>
          </w:tcPr>
          <w:p w14:paraId="62DB540D" w14:textId="77777777" w:rsidR="007E5DE5" w:rsidRDefault="00FB7D88">
            <w:r>
              <w:t>Establish organisational practi</w:t>
            </w:r>
            <w:r>
              <w:t>ses (policies and directives) that accommodate individual / group differences.</w:t>
            </w:r>
          </w:p>
        </w:tc>
      </w:tr>
      <w:tr w:rsidR="007E5DE5" w14:paraId="6076F51F" w14:textId="77777777">
        <w:tc>
          <w:tcPr>
            <w:tcW w:w="5000" w:type="dxa"/>
            <w:gridSpan w:val="2"/>
            <w:noWrap/>
          </w:tcPr>
          <w:p w14:paraId="5CFFE812" w14:textId="77777777" w:rsidR="007E5DE5" w:rsidRDefault="00FB7D88"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</w:rPr>
              <w:lastRenderedPageBreak/>
              <w:t>People</w:t>
            </w:r>
          </w:p>
        </w:tc>
      </w:tr>
      <w:tr w:rsidR="007E5DE5" w14:paraId="47A3121A" w14:textId="77777777">
        <w:tc>
          <w:tcPr>
            <w:tcW w:w="1250" w:type="dxa"/>
            <w:noWrap/>
          </w:tcPr>
          <w:p w14:paraId="4EA68665" w14:textId="77777777" w:rsidR="007E5DE5" w:rsidRDefault="00FB7D88">
            <w:r>
              <w:t>Leadership</w:t>
            </w:r>
          </w:p>
        </w:tc>
        <w:tc>
          <w:tcPr>
            <w:tcW w:w="3750" w:type="dxa"/>
            <w:noWrap/>
          </w:tcPr>
          <w:p w14:paraId="657EAC40" w14:textId="77777777" w:rsidR="007E5DE5" w:rsidRDefault="00FB7D88">
            <w:r>
              <w:t>Establish clear objectives for multiple work groups/departments empowering and supporting these leaders to lead and achieve their objectives and targets.</w:t>
            </w:r>
          </w:p>
        </w:tc>
      </w:tr>
      <w:tr w:rsidR="007E5DE5" w14:paraId="60CD9937" w14:textId="77777777">
        <w:tc>
          <w:tcPr>
            <w:tcW w:w="1250" w:type="dxa"/>
            <w:noWrap/>
          </w:tcPr>
          <w:p w14:paraId="55FA5D24" w14:textId="77777777" w:rsidR="007E5DE5" w:rsidRDefault="00FB7D88">
            <w:r>
              <w:t>Te</w:t>
            </w:r>
            <w:r>
              <w:t>am Orientation</w:t>
            </w:r>
          </w:p>
        </w:tc>
        <w:tc>
          <w:tcPr>
            <w:tcW w:w="3750" w:type="dxa"/>
            <w:noWrap/>
          </w:tcPr>
          <w:p w14:paraId="00D404ED" w14:textId="77777777" w:rsidR="007E5DE5" w:rsidRDefault="00FB7D88">
            <w:r>
              <w:t>Share authority and decision making to high performing teams.</w:t>
            </w:r>
          </w:p>
        </w:tc>
      </w:tr>
      <w:tr w:rsidR="007E5DE5" w14:paraId="07457E8C" w14:textId="77777777">
        <w:tc>
          <w:tcPr>
            <w:tcW w:w="5000" w:type="dxa"/>
            <w:gridSpan w:val="2"/>
            <w:noWrap/>
          </w:tcPr>
          <w:p w14:paraId="4A7BB7C3" w14:textId="77777777" w:rsidR="007E5DE5" w:rsidRDefault="00FB7D88"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</w:rPr>
              <w:t>Professional</w:t>
            </w:r>
          </w:p>
        </w:tc>
      </w:tr>
      <w:tr w:rsidR="007E5DE5" w14:paraId="256BA70B" w14:textId="77777777">
        <w:tc>
          <w:tcPr>
            <w:tcW w:w="1250" w:type="dxa"/>
            <w:noWrap/>
          </w:tcPr>
          <w:p w14:paraId="10147803" w14:textId="77777777" w:rsidR="007E5DE5" w:rsidRDefault="00FB7D88">
            <w:r>
              <w:t>Compliance</w:t>
            </w:r>
          </w:p>
        </w:tc>
        <w:tc>
          <w:tcPr>
            <w:tcW w:w="3750" w:type="dxa"/>
            <w:noWrap/>
          </w:tcPr>
          <w:p w14:paraId="7C4CB293" w14:textId="77777777" w:rsidR="007E5DE5" w:rsidRDefault="00FB7D88">
            <w:r>
              <w:t>Investigate/audit and report on compliance issues.</w:t>
            </w:r>
          </w:p>
        </w:tc>
      </w:tr>
      <w:tr w:rsidR="007E5DE5" w14:paraId="664E72D1" w14:textId="77777777">
        <w:tc>
          <w:tcPr>
            <w:tcW w:w="1250" w:type="dxa"/>
            <w:noWrap/>
          </w:tcPr>
          <w:p w14:paraId="2DF40B5E" w14:textId="77777777" w:rsidR="007E5DE5" w:rsidRDefault="00FB7D88">
            <w:r>
              <w:t>Technology Application</w:t>
            </w:r>
          </w:p>
        </w:tc>
        <w:tc>
          <w:tcPr>
            <w:tcW w:w="3750" w:type="dxa"/>
            <w:noWrap/>
          </w:tcPr>
          <w:p w14:paraId="0664DBBC" w14:textId="77777777" w:rsidR="007E5DE5" w:rsidRDefault="00FB7D88">
            <w:r>
              <w:t>Leverage technology to achieve work objectives more efficiently</w:t>
            </w:r>
          </w:p>
        </w:tc>
      </w:tr>
    </w:tbl>
    <w:p w14:paraId="6A97AC9E" w14:textId="77777777" w:rsidR="007E5DE5" w:rsidRDefault="007E5DE5"/>
    <w:p w14:paraId="57C60A6E" w14:textId="77777777" w:rsidR="007E5DE5" w:rsidRDefault="00FB7D88">
      <w:r>
        <w:rPr>
          <w:rFonts w:ascii="Cambria" w:eastAsia="Cambria" w:hAnsi="Cambria" w:cs="Cambria"/>
          <w:color w:val="365F91"/>
          <w:sz w:val="26"/>
          <w:szCs w:val="26"/>
        </w:rPr>
        <w:t>Qualifications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4255"/>
        <w:gridCol w:w="2553"/>
      </w:tblGrid>
      <w:tr w:rsidR="007E5DE5" w14:paraId="2EBB41EC" w14:textId="77777777">
        <w:trPr>
          <w:tblHeader/>
        </w:trPr>
        <w:tc>
          <w:tcPr>
            <w:tcW w:w="1000" w:type="dxa"/>
            <w:noWrap/>
          </w:tcPr>
          <w:p w14:paraId="638B006A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Qualification</w:t>
            </w:r>
          </w:p>
        </w:tc>
        <w:tc>
          <w:tcPr>
            <w:tcW w:w="2500" w:type="dxa"/>
            <w:noWrap/>
          </w:tcPr>
          <w:p w14:paraId="669BD645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Discipline</w:t>
            </w:r>
          </w:p>
        </w:tc>
        <w:tc>
          <w:tcPr>
            <w:tcW w:w="1500" w:type="dxa"/>
            <w:noWrap/>
          </w:tcPr>
          <w:p w14:paraId="03780743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Notes</w:t>
            </w:r>
          </w:p>
        </w:tc>
      </w:tr>
      <w:tr w:rsidR="007E5DE5" w14:paraId="1343F809" w14:textId="77777777">
        <w:tc>
          <w:tcPr>
            <w:tcW w:w="0" w:type="auto"/>
            <w:gridSpan w:val="3"/>
            <w:noWrap/>
          </w:tcPr>
          <w:p w14:paraId="60DCD77E" w14:textId="77777777" w:rsidR="007E5DE5" w:rsidRDefault="00FB7D88"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</w:rPr>
              <w:t>Preferred</w:t>
            </w:r>
          </w:p>
        </w:tc>
      </w:tr>
      <w:tr w:rsidR="007E5DE5" w14:paraId="0C66E673" w14:textId="77777777">
        <w:tc>
          <w:tcPr>
            <w:tcW w:w="1000" w:type="dxa"/>
            <w:noWrap/>
          </w:tcPr>
          <w:p w14:paraId="318F1D07" w14:textId="77777777" w:rsidR="007E5DE5" w:rsidRDefault="00FB7D88">
            <w:r>
              <w:t>Masters Degree</w:t>
            </w:r>
          </w:p>
        </w:tc>
        <w:tc>
          <w:tcPr>
            <w:tcW w:w="2500" w:type="dxa"/>
            <w:noWrap/>
          </w:tcPr>
          <w:p w14:paraId="5A597261" w14:textId="77777777" w:rsidR="007E5DE5" w:rsidRDefault="00FB7D88">
            <w:r>
              <w:t>Business Administration, Business and Management, Human Resources/Personnel</w:t>
            </w:r>
          </w:p>
        </w:tc>
        <w:tc>
          <w:tcPr>
            <w:tcW w:w="1500" w:type="dxa"/>
            <w:noWrap/>
          </w:tcPr>
          <w:p w14:paraId="3485CF1A" w14:textId="77777777" w:rsidR="007E5DE5" w:rsidRDefault="00FB7D88">
            <w:r>
              <w:t xml:space="preserve">Master’s degree in Business Administration, Public Administration, Accounting, Finance, or related </w:t>
            </w:r>
            <w:r>
              <w:t>discipline.</w:t>
            </w:r>
          </w:p>
        </w:tc>
      </w:tr>
    </w:tbl>
    <w:p w14:paraId="62A380A0" w14:textId="77777777" w:rsidR="007E5DE5" w:rsidRDefault="007E5D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7E5DE5" w14:paraId="168A7EFE" w14:textId="77777777">
        <w:trPr>
          <w:tblHeader/>
        </w:trPr>
        <w:tc>
          <w:tcPr>
            <w:tcW w:w="0" w:type="auto"/>
            <w:noWrap/>
          </w:tcPr>
          <w:p w14:paraId="358A5277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6"/>
                <w:szCs w:val="26"/>
              </w:rPr>
              <w:t>Work Knowledge and Experience</w:t>
            </w:r>
          </w:p>
        </w:tc>
      </w:tr>
      <w:tr w:rsidR="007E5DE5" w14:paraId="7A18935E" w14:textId="77777777">
        <w:tc>
          <w:tcPr>
            <w:tcW w:w="0" w:type="auto"/>
            <w:noWrap/>
          </w:tcPr>
          <w:p w14:paraId="5A368EFE" w14:textId="77777777" w:rsidR="007E5DE5" w:rsidRDefault="00FB7D88">
            <w:r>
              <w:t>Minimum of 10 years’ experience in a senior management position within corporate or public sector administration, preferably in a municipal or statutory environment.</w:t>
            </w:r>
          </w:p>
        </w:tc>
      </w:tr>
      <w:tr w:rsidR="007E5DE5" w14:paraId="24F9DA9F" w14:textId="77777777">
        <w:tc>
          <w:tcPr>
            <w:tcW w:w="0" w:type="auto"/>
            <w:noWrap/>
          </w:tcPr>
          <w:p w14:paraId="1BDA68F9" w14:textId="77777777" w:rsidR="007E5DE5" w:rsidRDefault="00FB7D88">
            <w:r>
              <w:t xml:space="preserve">Demonstrated record of leading </w:t>
            </w:r>
            <w:r>
              <w:t>multidisciplinary functions such as finance, HR, ICT, and administration with measurable service improvements.</w:t>
            </w:r>
          </w:p>
        </w:tc>
      </w:tr>
      <w:tr w:rsidR="007E5DE5" w14:paraId="09BF311A" w14:textId="77777777">
        <w:tc>
          <w:tcPr>
            <w:tcW w:w="0" w:type="auto"/>
            <w:noWrap/>
          </w:tcPr>
          <w:p w14:paraId="2044C827" w14:textId="77777777" w:rsidR="007E5DE5" w:rsidRDefault="00FB7D88">
            <w:r>
              <w:t>Proven experience in corporate planning, budgeting, and performance monitoring aligned with organisational objectives and legislative requiremen</w:t>
            </w:r>
            <w:r>
              <w:t>ts.</w:t>
            </w:r>
          </w:p>
        </w:tc>
      </w:tr>
      <w:tr w:rsidR="007E5DE5" w14:paraId="41D5DA24" w14:textId="77777777">
        <w:tc>
          <w:tcPr>
            <w:tcW w:w="0" w:type="auto"/>
            <w:noWrap/>
          </w:tcPr>
          <w:p w14:paraId="06CB5704" w14:textId="77777777" w:rsidR="007E5DE5" w:rsidRDefault="00FB7D88">
            <w:r>
              <w:t>Strong understanding of Fijian public sector governance, municipal legislation, and financial management systems, including compliance with the Local Government Act and Audit Act.</w:t>
            </w:r>
          </w:p>
        </w:tc>
      </w:tr>
      <w:tr w:rsidR="007E5DE5" w14:paraId="60F840DB" w14:textId="77777777">
        <w:tc>
          <w:tcPr>
            <w:tcW w:w="0" w:type="auto"/>
            <w:noWrap/>
          </w:tcPr>
          <w:p w14:paraId="441E7EEE" w14:textId="77777777" w:rsidR="007E5DE5" w:rsidRDefault="00FB7D88">
            <w:r>
              <w:t>Demonstrated ability to lead organisational reform, process improvemen</w:t>
            </w:r>
            <w:r>
              <w:t>t, and cultural change initiatives.</w:t>
            </w:r>
          </w:p>
        </w:tc>
      </w:tr>
      <w:tr w:rsidR="007E5DE5" w14:paraId="716C9E1B" w14:textId="77777777">
        <w:tc>
          <w:tcPr>
            <w:tcW w:w="0" w:type="auto"/>
            <w:noWrap/>
          </w:tcPr>
          <w:p w14:paraId="2EDD0DF1" w14:textId="77777777" w:rsidR="007E5DE5" w:rsidRDefault="00FB7D88">
            <w:r>
              <w:t>Experience in developing and implementing policies, frameworks, and procedures that promote transparency, accountability, and efficiency.</w:t>
            </w:r>
          </w:p>
        </w:tc>
      </w:tr>
      <w:tr w:rsidR="007E5DE5" w14:paraId="15E3F238" w14:textId="77777777">
        <w:tc>
          <w:tcPr>
            <w:tcW w:w="0" w:type="auto"/>
            <w:noWrap/>
          </w:tcPr>
          <w:p w14:paraId="6EFA5D8E" w14:textId="77777777" w:rsidR="007E5DE5" w:rsidRDefault="00FB7D88">
            <w:r>
              <w:t>Proven competence in stakeholder engagement, including working with government m</w:t>
            </w:r>
            <w:r>
              <w:t>inistries, statutory bodies, auditors, and external partners.</w:t>
            </w:r>
          </w:p>
        </w:tc>
      </w:tr>
      <w:tr w:rsidR="007E5DE5" w14:paraId="1ECAF9F5" w14:textId="77777777">
        <w:tc>
          <w:tcPr>
            <w:tcW w:w="0" w:type="auto"/>
            <w:noWrap/>
          </w:tcPr>
          <w:p w14:paraId="64D01BE5" w14:textId="77777777" w:rsidR="007E5DE5" w:rsidRDefault="00FB7D88">
            <w:r>
              <w:t>Knowledge of contemporary risk management, internal controls, and corporate reporting practices.</w:t>
            </w:r>
          </w:p>
        </w:tc>
      </w:tr>
      <w:tr w:rsidR="007E5DE5" w14:paraId="237C5B44" w14:textId="77777777">
        <w:tc>
          <w:tcPr>
            <w:tcW w:w="0" w:type="auto"/>
            <w:noWrap/>
          </w:tcPr>
          <w:p w14:paraId="6BE3F6B4" w14:textId="77777777" w:rsidR="007E5DE5" w:rsidRDefault="00FB7D88">
            <w:r>
              <w:lastRenderedPageBreak/>
              <w:t>Experience in using digital tools and enterprise systems to improve administrative and financia</w:t>
            </w:r>
            <w:r>
              <w:t>l efficiency.</w:t>
            </w:r>
          </w:p>
        </w:tc>
      </w:tr>
    </w:tbl>
    <w:p w14:paraId="74C60D8D" w14:textId="77777777" w:rsidR="007E5DE5" w:rsidRDefault="007E5D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7E5DE5" w14:paraId="1FED0BA8" w14:textId="77777777">
        <w:trPr>
          <w:tblHeader/>
        </w:trPr>
        <w:tc>
          <w:tcPr>
            <w:tcW w:w="0" w:type="auto"/>
            <w:noWrap/>
          </w:tcPr>
          <w:p w14:paraId="6D02CFDC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6"/>
                <w:szCs w:val="26"/>
              </w:rPr>
              <w:t>Requirements</w:t>
            </w:r>
          </w:p>
        </w:tc>
      </w:tr>
      <w:tr w:rsidR="007E5DE5" w14:paraId="613F2ECA" w14:textId="77777777">
        <w:tc>
          <w:tcPr>
            <w:tcW w:w="0" w:type="auto"/>
            <w:noWrap/>
          </w:tcPr>
          <w:p w14:paraId="63E4F2B0" w14:textId="77777777" w:rsidR="007E5DE5" w:rsidRDefault="00FB7D88">
            <w:pPr>
              <w:spacing w:after="0" w:line="240" w:lineRule="auto"/>
            </w:pPr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Regulatory Compliance Requirements</w:t>
            </w:r>
          </w:p>
        </w:tc>
      </w:tr>
      <w:tr w:rsidR="007E5DE5" w14:paraId="34B95D0C" w14:textId="77777777">
        <w:tc>
          <w:tcPr>
            <w:tcW w:w="0" w:type="auto"/>
            <w:noWrap/>
          </w:tcPr>
          <w:p w14:paraId="4FF2E7F4" w14:textId="77777777" w:rsidR="007E5DE5" w:rsidRDefault="00FB7D88">
            <w:pPr>
              <w:spacing w:after="0" w:line="240" w:lineRule="auto"/>
            </w:pPr>
            <w:r>
              <w:t>Professional membership in accounting (CA, CPA, or equivalent) preferred.</w:t>
            </w:r>
          </w:p>
        </w:tc>
      </w:tr>
      <w:tr w:rsidR="007E5DE5" w14:paraId="3F014068" w14:textId="77777777">
        <w:tc>
          <w:tcPr>
            <w:tcW w:w="0" w:type="auto"/>
            <w:noWrap/>
          </w:tcPr>
          <w:p w14:paraId="4633744B" w14:textId="77777777" w:rsidR="007E5DE5" w:rsidRDefault="007E5DE5">
            <w:pPr>
              <w:spacing w:after="0" w:line="240" w:lineRule="auto"/>
            </w:pPr>
          </w:p>
        </w:tc>
      </w:tr>
    </w:tbl>
    <w:p w14:paraId="2E10A37C" w14:textId="77777777" w:rsidR="007E5DE5" w:rsidRDefault="007E5DE5"/>
    <w:p w14:paraId="4F5C8D62" w14:textId="77777777" w:rsidR="007E5DE5" w:rsidRDefault="00FB7D88">
      <w:r>
        <w:rPr>
          <w:rFonts w:ascii="Cambria" w:eastAsia="Cambria" w:hAnsi="Cambria" w:cs="Cambria"/>
          <w:color w:val="365F91"/>
          <w:sz w:val="26"/>
          <w:szCs w:val="26"/>
        </w:rPr>
        <w:t>Interactions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6"/>
        <w:gridCol w:w="835"/>
      </w:tblGrid>
      <w:tr w:rsidR="007E5DE5" w14:paraId="6C345EBA" w14:textId="77777777">
        <w:trPr>
          <w:tblHeader/>
        </w:trPr>
        <w:tc>
          <w:tcPr>
            <w:tcW w:w="0" w:type="auto"/>
            <w:noWrap/>
          </w:tcPr>
          <w:p w14:paraId="2CA8D16E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Interaction</w:t>
            </w:r>
          </w:p>
        </w:tc>
        <w:tc>
          <w:tcPr>
            <w:tcW w:w="0" w:type="auto"/>
            <w:noWrap/>
          </w:tcPr>
          <w:p w14:paraId="637720DB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Comments</w:t>
            </w:r>
          </w:p>
        </w:tc>
      </w:tr>
      <w:tr w:rsidR="007E5DE5" w14:paraId="489EC5C0" w14:textId="77777777">
        <w:tc>
          <w:tcPr>
            <w:tcW w:w="0" w:type="auto"/>
            <w:gridSpan w:val="2"/>
            <w:noWrap/>
          </w:tcPr>
          <w:p w14:paraId="3022F85D" w14:textId="77777777" w:rsidR="007E5DE5" w:rsidRDefault="00FB7D88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</w:rPr>
              <w:t>Internal</w:t>
            </w:r>
          </w:p>
        </w:tc>
      </w:tr>
      <w:tr w:rsidR="007E5DE5" w14:paraId="0D88184D" w14:textId="77777777">
        <w:tc>
          <w:tcPr>
            <w:tcW w:w="0" w:type="auto"/>
            <w:noWrap/>
          </w:tcPr>
          <w:p w14:paraId="0E1538E9" w14:textId="77777777" w:rsidR="007E5DE5" w:rsidRDefault="00FB7D88">
            <w:pPr>
              <w:spacing w:after="0" w:line="240" w:lineRule="auto"/>
            </w:pPr>
            <w:r>
              <w:t>Chief Executive Officer</w:t>
            </w:r>
          </w:p>
        </w:tc>
        <w:tc>
          <w:tcPr>
            <w:tcW w:w="0" w:type="auto"/>
            <w:noWrap/>
          </w:tcPr>
          <w:p w14:paraId="5F34F42C" w14:textId="77777777" w:rsidR="007E5DE5" w:rsidRDefault="007E5DE5">
            <w:pPr>
              <w:spacing w:after="0" w:line="240" w:lineRule="auto"/>
            </w:pPr>
          </w:p>
        </w:tc>
      </w:tr>
      <w:tr w:rsidR="007E5DE5" w14:paraId="38A1D76A" w14:textId="77777777">
        <w:tc>
          <w:tcPr>
            <w:tcW w:w="0" w:type="auto"/>
            <w:noWrap/>
          </w:tcPr>
          <w:p w14:paraId="3918ED0F" w14:textId="77777777" w:rsidR="007E5DE5" w:rsidRDefault="00FB7D88">
            <w:pPr>
              <w:spacing w:after="0" w:line="240" w:lineRule="auto"/>
            </w:pPr>
            <w:r>
              <w:t>Divisional Heads</w:t>
            </w:r>
          </w:p>
        </w:tc>
        <w:tc>
          <w:tcPr>
            <w:tcW w:w="0" w:type="auto"/>
            <w:noWrap/>
          </w:tcPr>
          <w:p w14:paraId="0C4B1CF0" w14:textId="77777777" w:rsidR="007E5DE5" w:rsidRDefault="007E5DE5">
            <w:pPr>
              <w:spacing w:after="0" w:line="240" w:lineRule="auto"/>
            </w:pPr>
          </w:p>
        </w:tc>
      </w:tr>
      <w:tr w:rsidR="007E5DE5" w14:paraId="68245EF2" w14:textId="77777777">
        <w:tc>
          <w:tcPr>
            <w:tcW w:w="0" w:type="auto"/>
            <w:noWrap/>
          </w:tcPr>
          <w:p w14:paraId="33D1C823" w14:textId="77777777" w:rsidR="007E5DE5" w:rsidRDefault="00FB7D88">
            <w:pPr>
              <w:spacing w:after="0" w:line="240" w:lineRule="auto"/>
            </w:pPr>
            <w:r>
              <w:t>Finance and HR teams</w:t>
            </w:r>
          </w:p>
        </w:tc>
        <w:tc>
          <w:tcPr>
            <w:tcW w:w="0" w:type="auto"/>
            <w:noWrap/>
          </w:tcPr>
          <w:p w14:paraId="11F7BD43" w14:textId="77777777" w:rsidR="007E5DE5" w:rsidRDefault="007E5DE5">
            <w:pPr>
              <w:spacing w:after="0" w:line="240" w:lineRule="auto"/>
            </w:pPr>
          </w:p>
        </w:tc>
      </w:tr>
      <w:tr w:rsidR="007E5DE5" w14:paraId="7F2CA063" w14:textId="77777777">
        <w:tc>
          <w:tcPr>
            <w:tcW w:w="0" w:type="auto"/>
            <w:noWrap/>
          </w:tcPr>
          <w:p w14:paraId="565B5F2D" w14:textId="77777777" w:rsidR="007E5DE5" w:rsidRDefault="00FB7D88">
            <w:pPr>
              <w:spacing w:after="0" w:line="240" w:lineRule="auto"/>
            </w:pPr>
            <w:r>
              <w:t>Council Members</w:t>
            </w:r>
          </w:p>
        </w:tc>
        <w:tc>
          <w:tcPr>
            <w:tcW w:w="0" w:type="auto"/>
            <w:noWrap/>
          </w:tcPr>
          <w:p w14:paraId="0A5F2575" w14:textId="77777777" w:rsidR="007E5DE5" w:rsidRDefault="007E5DE5">
            <w:pPr>
              <w:spacing w:after="0" w:line="240" w:lineRule="auto"/>
            </w:pPr>
          </w:p>
        </w:tc>
      </w:tr>
      <w:tr w:rsidR="007E5DE5" w14:paraId="43AD2F77" w14:textId="77777777">
        <w:tc>
          <w:tcPr>
            <w:tcW w:w="0" w:type="auto"/>
            <w:gridSpan w:val="2"/>
            <w:noWrap/>
          </w:tcPr>
          <w:p w14:paraId="6E120094" w14:textId="77777777" w:rsidR="007E5DE5" w:rsidRDefault="007E5DE5">
            <w:pPr>
              <w:spacing w:after="0" w:line="240" w:lineRule="auto"/>
            </w:pPr>
          </w:p>
        </w:tc>
      </w:tr>
      <w:tr w:rsidR="007E5DE5" w14:paraId="1548E248" w14:textId="77777777">
        <w:tc>
          <w:tcPr>
            <w:tcW w:w="0" w:type="auto"/>
            <w:gridSpan w:val="2"/>
            <w:noWrap/>
          </w:tcPr>
          <w:p w14:paraId="6602D241" w14:textId="77777777" w:rsidR="007E5DE5" w:rsidRDefault="00FB7D88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</w:rPr>
              <w:t>External</w:t>
            </w:r>
          </w:p>
        </w:tc>
      </w:tr>
      <w:tr w:rsidR="007E5DE5" w14:paraId="179FB519" w14:textId="77777777">
        <w:tc>
          <w:tcPr>
            <w:tcW w:w="0" w:type="auto"/>
            <w:noWrap/>
          </w:tcPr>
          <w:p w14:paraId="281D8F64" w14:textId="77777777" w:rsidR="007E5DE5" w:rsidRDefault="00FB7D88">
            <w:pPr>
              <w:spacing w:after="0" w:line="240" w:lineRule="auto"/>
            </w:pPr>
            <w:r>
              <w:t>Ministry of Local Government Office of the Auditor-General Vendors, service providers Community groups and stakeholders</w:t>
            </w:r>
          </w:p>
        </w:tc>
        <w:tc>
          <w:tcPr>
            <w:tcW w:w="0" w:type="auto"/>
            <w:noWrap/>
          </w:tcPr>
          <w:p w14:paraId="1112C1C1" w14:textId="77777777" w:rsidR="007E5DE5" w:rsidRDefault="007E5DE5">
            <w:pPr>
              <w:spacing w:after="0" w:line="240" w:lineRule="auto"/>
            </w:pPr>
          </w:p>
        </w:tc>
      </w:tr>
      <w:tr w:rsidR="007E5DE5" w14:paraId="64A2BD5D" w14:textId="77777777">
        <w:tc>
          <w:tcPr>
            <w:tcW w:w="0" w:type="auto"/>
            <w:gridSpan w:val="2"/>
            <w:noWrap/>
          </w:tcPr>
          <w:p w14:paraId="64F34B75" w14:textId="77777777" w:rsidR="007E5DE5" w:rsidRDefault="007E5DE5">
            <w:pPr>
              <w:spacing w:after="0" w:line="240" w:lineRule="auto"/>
            </w:pPr>
          </w:p>
        </w:tc>
      </w:tr>
    </w:tbl>
    <w:p w14:paraId="52478E46" w14:textId="77777777" w:rsidR="007E5DE5" w:rsidRDefault="007E5D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6235"/>
      </w:tblGrid>
      <w:tr w:rsidR="007E5DE5" w14:paraId="486C4E27" w14:textId="77777777">
        <w:trPr>
          <w:tblHeader/>
        </w:trPr>
        <w:tc>
          <w:tcPr>
            <w:tcW w:w="0" w:type="auto"/>
            <w:gridSpan w:val="2"/>
            <w:noWrap/>
          </w:tcPr>
          <w:p w14:paraId="1E29E614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6"/>
                <w:szCs w:val="26"/>
              </w:rPr>
              <w:t>Attributes</w:t>
            </w:r>
          </w:p>
        </w:tc>
      </w:tr>
      <w:tr w:rsidR="007E5DE5" w14:paraId="3D9DB27C" w14:textId="77777777">
        <w:tc>
          <w:tcPr>
            <w:tcW w:w="0" w:type="auto"/>
            <w:gridSpan w:val="2"/>
            <w:noWrap/>
          </w:tcPr>
          <w:p w14:paraId="7DFF138B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Behavioural Styles</w:t>
            </w:r>
          </w:p>
        </w:tc>
      </w:tr>
      <w:tr w:rsidR="007E5DE5" w14:paraId="47C43528" w14:textId="77777777">
        <w:tc>
          <w:tcPr>
            <w:tcW w:w="1250" w:type="dxa"/>
            <w:noWrap/>
          </w:tcPr>
          <w:p w14:paraId="65D5039B" w14:textId="77777777" w:rsidR="007E5DE5" w:rsidRDefault="00FB7D88">
            <w:r>
              <w:t>Accountable</w:t>
            </w:r>
          </w:p>
        </w:tc>
        <w:tc>
          <w:tcPr>
            <w:tcW w:w="3750" w:type="dxa"/>
            <w:noWrap/>
          </w:tcPr>
          <w:p w14:paraId="37F832DE" w14:textId="77777777" w:rsidR="007E5DE5" w:rsidRDefault="00FB7D88">
            <w:r>
              <w:t xml:space="preserve">Assumes full responsibility for own actions and </w:t>
            </w:r>
            <w:r>
              <w:t>identifies with the success or failure of own part of the overall work/goal.</w:t>
            </w:r>
          </w:p>
        </w:tc>
      </w:tr>
      <w:tr w:rsidR="007E5DE5" w14:paraId="5DC279BA" w14:textId="77777777">
        <w:tc>
          <w:tcPr>
            <w:tcW w:w="1250" w:type="dxa"/>
            <w:noWrap/>
          </w:tcPr>
          <w:p w14:paraId="4D381673" w14:textId="77777777" w:rsidR="007E5DE5" w:rsidRDefault="00FB7D88">
            <w:r>
              <w:t>Achiever</w:t>
            </w:r>
          </w:p>
        </w:tc>
        <w:tc>
          <w:tcPr>
            <w:tcW w:w="3750" w:type="dxa"/>
            <w:noWrap/>
          </w:tcPr>
          <w:p w14:paraId="7BC20839" w14:textId="77777777" w:rsidR="007E5DE5" w:rsidRDefault="00FB7D88">
            <w:r>
              <w:t>Puts in effort to achieve a desired result or goal and is motivated by this end and the overall accomplishment.</w:t>
            </w:r>
          </w:p>
        </w:tc>
      </w:tr>
      <w:tr w:rsidR="007E5DE5" w14:paraId="3F77D862" w14:textId="77777777">
        <w:tc>
          <w:tcPr>
            <w:tcW w:w="1250" w:type="dxa"/>
            <w:noWrap/>
          </w:tcPr>
          <w:p w14:paraId="08C4BAB4" w14:textId="77777777" w:rsidR="007E5DE5" w:rsidRDefault="00FB7D88">
            <w:r>
              <w:t>Detail oriented</w:t>
            </w:r>
          </w:p>
        </w:tc>
        <w:tc>
          <w:tcPr>
            <w:tcW w:w="3750" w:type="dxa"/>
            <w:noWrap/>
          </w:tcPr>
          <w:p w14:paraId="7E3B2E9A" w14:textId="77777777" w:rsidR="007E5DE5" w:rsidRDefault="00FB7D88">
            <w:r>
              <w:t>Attends to the small elements of a task/</w:t>
            </w:r>
            <w:r>
              <w:t>activity, ensuring completeness and accuracy.</w:t>
            </w:r>
          </w:p>
        </w:tc>
      </w:tr>
      <w:tr w:rsidR="007E5DE5" w14:paraId="6FADCEC2" w14:textId="77777777">
        <w:tc>
          <w:tcPr>
            <w:tcW w:w="1250" w:type="dxa"/>
            <w:noWrap/>
          </w:tcPr>
          <w:p w14:paraId="73B50CFA" w14:textId="77777777" w:rsidR="007E5DE5" w:rsidRDefault="00FB7D88">
            <w:r>
              <w:t>Innovative</w:t>
            </w:r>
          </w:p>
        </w:tc>
        <w:tc>
          <w:tcPr>
            <w:tcW w:w="3750" w:type="dxa"/>
            <w:noWrap/>
          </w:tcPr>
          <w:p w14:paraId="03BFC9CF" w14:textId="77777777" w:rsidR="007E5DE5" w:rsidRDefault="00FB7D88">
            <w:r>
              <w:t>Devises new and creative ways to do things comes up with original ideas.</w:t>
            </w:r>
          </w:p>
        </w:tc>
      </w:tr>
      <w:tr w:rsidR="007E5DE5" w14:paraId="22554607" w14:textId="77777777">
        <w:tc>
          <w:tcPr>
            <w:tcW w:w="1250" w:type="dxa"/>
            <w:noWrap/>
          </w:tcPr>
          <w:p w14:paraId="79E1CA08" w14:textId="77777777" w:rsidR="007E5DE5" w:rsidRDefault="00FB7D88">
            <w:r>
              <w:t>Reliable</w:t>
            </w:r>
          </w:p>
        </w:tc>
        <w:tc>
          <w:tcPr>
            <w:tcW w:w="3750" w:type="dxa"/>
            <w:noWrap/>
          </w:tcPr>
          <w:p w14:paraId="661081ED" w14:textId="77777777" w:rsidR="007E5DE5" w:rsidRDefault="00FB7D88">
            <w:r>
              <w:t xml:space="preserve">Is able to be trusted to do what is expected or has been promised, puts in a great amount of effort believing in </w:t>
            </w:r>
            <w:r>
              <w:t>the value of work.</w:t>
            </w:r>
          </w:p>
        </w:tc>
      </w:tr>
      <w:tr w:rsidR="007E5DE5" w14:paraId="21083B22" w14:textId="77777777">
        <w:tc>
          <w:tcPr>
            <w:tcW w:w="0" w:type="auto"/>
            <w:gridSpan w:val="2"/>
            <w:noWrap/>
          </w:tcPr>
          <w:p w14:paraId="3C6C47B8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Interpersonal Styles</w:t>
            </w:r>
          </w:p>
        </w:tc>
      </w:tr>
      <w:tr w:rsidR="007E5DE5" w14:paraId="17CA7359" w14:textId="77777777">
        <w:tc>
          <w:tcPr>
            <w:tcW w:w="1250" w:type="dxa"/>
            <w:noWrap/>
          </w:tcPr>
          <w:p w14:paraId="53D1404C" w14:textId="77777777" w:rsidR="007E5DE5" w:rsidRDefault="00FB7D88">
            <w:r>
              <w:t>Extrovert</w:t>
            </w:r>
          </w:p>
        </w:tc>
        <w:tc>
          <w:tcPr>
            <w:tcW w:w="3750" w:type="dxa"/>
            <w:noWrap/>
          </w:tcPr>
          <w:p w14:paraId="1D9C7F40" w14:textId="77777777" w:rsidR="007E5DE5" w:rsidRDefault="00FB7D88">
            <w:r>
              <w:t>Outgoing and showing interest in events going on around them, particularly people, new experiences and changing situations.</w:t>
            </w:r>
          </w:p>
        </w:tc>
      </w:tr>
      <w:tr w:rsidR="007E5DE5" w14:paraId="12842F72" w14:textId="77777777">
        <w:tc>
          <w:tcPr>
            <w:tcW w:w="1250" w:type="dxa"/>
            <w:noWrap/>
          </w:tcPr>
          <w:p w14:paraId="4CB7E08B" w14:textId="77777777" w:rsidR="007E5DE5" w:rsidRDefault="00FB7D88">
            <w:r>
              <w:t>Realistic</w:t>
            </w:r>
          </w:p>
        </w:tc>
        <w:tc>
          <w:tcPr>
            <w:tcW w:w="3750" w:type="dxa"/>
            <w:noWrap/>
          </w:tcPr>
          <w:p w14:paraId="452E0BB6" w14:textId="77777777" w:rsidR="007E5DE5" w:rsidRDefault="00FB7D88">
            <w:r>
              <w:t>Shows concern for facts and reality, rejecting the impractical.</w:t>
            </w:r>
          </w:p>
        </w:tc>
      </w:tr>
      <w:tr w:rsidR="007E5DE5" w14:paraId="40752B12" w14:textId="77777777">
        <w:tc>
          <w:tcPr>
            <w:tcW w:w="1250" w:type="dxa"/>
            <w:noWrap/>
          </w:tcPr>
          <w:p w14:paraId="741CD239" w14:textId="77777777" w:rsidR="007E5DE5" w:rsidRDefault="00FB7D88">
            <w:r>
              <w:lastRenderedPageBreak/>
              <w:t>Self</w:t>
            </w:r>
            <w:r>
              <w:t xml:space="preserve"> Sufficient and Assured</w:t>
            </w:r>
          </w:p>
        </w:tc>
        <w:tc>
          <w:tcPr>
            <w:tcW w:w="3750" w:type="dxa"/>
            <w:noWrap/>
          </w:tcPr>
          <w:p w14:paraId="10B9BC30" w14:textId="77777777" w:rsidR="007E5DE5" w:rsidRDefault="00FB7D88">
            <w:r>
              <w:t>Readily copes with situations without recourse/need of others, showing confidence and belief in oneself and one's own abilities</w:t>
            </w:r>
          </w:p>
        </w:tc>
      </w:tr>
      <w:tr w:rsidR="007E5DE5" w14:paraId="6E4B905A" w14:textId="77777777">
        <w:tc>
          <w:tcPr>
            <w:tcW w:w="1250" w:type="dxa"/>
            <w:noWrap/>
          </w:tcPr>
          <w:p w14:paraId="6A021CC4" w14:textId="77777777" w:rsidR="007E5DE5" w:rsidRDefault="00FB7D88">
            <w:r>
              <w:t>Team Oriented</w:t>
            </w:r>
          </w:p>
        </w:tc>
        <w:tc>
          <w:tcPr>
            <w:tcW w:w="3750" w:type="dxa"/>
            <w:noWrap/>
          </w:tcPr>
          <w:p w14:paraId="6E167320" w14:textId="77777777" w:rsidR="007E5DE5" w:rsidRDefault="00FB7D88">
            <w:r>
              <w:t>Enjoys being with others as part of a group or team.</w:t>
            </w:r>
          </w:p>
        </w:tc>
      </w:tr>
      <w:tr w:rsidR="007E5DE5" w14:paraId="33AF72C1" w14:textId="77777777">
        <w:tc>
          <w:tcPr>
            <w:tcW w:w="0" w:type="auto"/>
            <w:gridSpan w:val="2"/>
            <w:noWrap/>
          </w:tcPr>
          <w:p w14:paraId="63EDC51A" w14:textId="77777777" w:rsidR="007E5DE5" w:rsidRDefault="00FB7D88">
            <w:r>
              <w:rPr>
                <w:rFonts w:ascii="Cambria" w:eastAsia="Cambria" w:hAnsi="Cambria" w:cs="Cambria"/>
                <w:color w:val="365F91"/>
                <w:sz w:val="24"/>
                <w:szCs w:val="24"/>
              </w:rPr>
              <w:t>Thinking Styles</w:t>
            </w:r>
          </w:p>
        </w:tc>
      </w:tr>
      <w:tr w:rsidR="007E5DE5" w14:paraId="549DF25F" w14:textId="77777777">
        <w:tc>
          <w:tcPr>
            <w:tcW w:w="1250" w:type="dxa"/>
            <w:noWrap/>
          </w:tcPr>
          <w:p w14:paraId="6CD216B3" w14:textId="77777777" w:rsidR="007E5DE5" w:rsidRDefault="00FB7D88">
            <w:r>
              <w:t>Challenger</w:t>
            </w:r>
          </w:p>
        </w:tc>
        <w:tc>
          <w:tcPr>
            <w:tcW w:w="3750" w:type="dxa"/>
            <w:noWrap/>
          </w:tcPr>
          <w:p w14:paraId="52BDC0E5" w14:textId="77777777" w:rsidR="007E5DE5" w:rsidRDefault="00FB7D88">
            <w:r>
              <w:t>Queries, tests information/beliefs and provokes thought.</w:t>
            </w:r>
          </w:p>
        </w:tc>
      </w:tr>
      <w:tr w:rsidR="007E5DE5" w14:paraId="37AFC6A1" w14:textId="77777777">
        <w:tc>
          <w:tcPr>
            <w:tcW w:w="1250" w:type="dxa"/>
            <w:noWrap/>
          </w:tcPr>
          <w:p w14:paraId="4A6816E7" w14:textId="77777777" w:rsidR="007E5DE5" w:rsidRDefault="00FB7D88">
            <w:r>
              <w:t>Flexible/Adaptable</w:t>
            </w:r>
          </w:p>
        </w:tc>
        <w:tc>
          <w:tcPr>
            <w:tcW w:w="3750" w:type="dxa"/>
            <w:noWrap/>
          </w:tcPr>
          <w:p w14:paraId="16438771" w14:textId="77777777" w:rsidR="007E5DE5" w:rsidRDefault="00FB7D88">
            <w:r>
              <w:t>Readily accommodates changing circumstances, modifying own behaviour and/or views.  Able to adjust easily to new conditions.</w:t>
            </w:r>
          </w:p>
        </w:tc>
      </w:tr>
      <w:tr w:rsidR="007E5DE5" w14:paraId="574F0B2A" w14:textId="77777777">
        <w:tc>
          <w:tcPr>
            <w:tcW w:w="1250" w:type="dxa"/>
            <w:noWrap/>
          </w:tcPr>
          <w:p w14:paraId="6D63DA63" w14:textId="77777777" w:rsidR="007E5DE5" w:rsidRDefault="00FB7D88">
            <w:r>
              <w:t>Numerate</w:t>
            </w:r>
          </w:p>
        </w:tc>
        <w:tc>
          <w:tcPr>
            <w:tcW w:w="3750" w:type="dxa"/>
            <w:noWrap/>
          </w:tcPr>
          <w:p w14:paraId="2ABE083E" w14:textId="77777777" w:rsidR="007E5DE5" w:rsidRDefault="00FB7D88">
            <w:r>
              <w:t xml:space="preserve">Shows abilities in quantitative thought and </w:t>
            </w:r>
            <w:r>
              <w:t>expression.</w:t>
            </w:r>
          </w:p>
        </w:tc>
      </w:tr>
      <w:tr w:rsidR="007E5DE5" w14:paraId="24431E2D" w14:textId="77777777">
        <w:tc>
          <w:tcPr>
            <w:tcW w:w="1250" w:type="dxa"/>
            <w:noWrap/>
          </w:tcPr>
          <w:p w14:paraId="0E6C1F88" w14:textId="77777777" w:rsidR="007E5DE5" w:rsidRDefault="00FB7D88">
            <w:r>
              <w:t>Well organised</w:t>
            </w:r>
          </w:p>
        </w:tc>
        <w:tc>
          <w:tcPr>
            <w:tcW w:w="3750" w:type="dxa"/>
            <w:noWrap/>
          </w:tcPr>
          <w:p w14:paraId="65024CA4" w14:textId="77777777" w:rsidR="007E5DE5" w:rsidRDefault="00FB7D88">
            <w:r>
              <w:t>Controls tasks in a well thought out and critical manner.</w:t>
            </w:r>
          </w:p>
        </w:tc>
      </w:tr>
    </w:tbl>
    <w:p w14:paraId="3DE95BB8" w14:textId="77777777" w:rsidR="007E5DE5" w:rsidRDefault="007E5DE5"/>
    <w:sectPr w:rsidR="007E5DE5">
      <w:headerReference w:type="default" r:id="rId8"/>
      <w:footerReference w:type="default" r:id="rId9"/>
      <w:pgSz w:w="11905" w:h="16837"/>
      <w:pgMar w:top="1133" w:right="1417" w:bottom="113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BD5E2" w14:textId="77777777" w:rsidR="00FB7D88" w:rsidRDefault="00FB7D88">
      <w:pPr>
        <w:spacing w:after="0" w:line="240" w:lineRule="auto"/>
      </w:pPr>
      <w:r>
        <w:separator/>
      </w:r>
    </w:p>
  </w:endnote>
  <w:endnote w:type="continuationSeparator" w:id="0">
    <w:p w14:paraId="59104E05" w14:textId="77777777" w:rsidR="00FB7D88" w:rsidRDefault="00FB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0" w:space="0" w:color="00000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47"/>
      <w:gridCol w:w="3979"/>
      <w:gridCol w:w="1945"/>
    </w:tblGrid>
    <w:tr w:rsidR="007E5DE5" w14:paraId="677ED412" w14:textId="77777777">
      <w:tc>
        <w:tcPr>
          <w:tcW w:w="0" w:type="auto"/>
          <w:noWrap/>
        </w:tcPr>
        <w:p w14:paraId="1F7B8F8F" w14:textId="77777777" w:rsidR="007E5DE5" w:rsidRDefault="00FB7D88">
          <w:r>
            <w:rPr>
              <w:sz w:val="18"/>
              <w:szCs w:val="18"/>
            </w:rPr>
            <w:t>05 December 2025</w:t>
          </w:r>
        </w:p>
      </w:tc>
      <w:tc>
        <w:tcPr>
          <w:tcW w:w="0" w:type="auto"/>
          <w:noWrap/>
        </w:tcPr>
        <w:p w14:paraId="623F2056" w14:textId="77777777" w:rsidR="007E5DE5" w:rsidRDefault="00FB7D88">
          <w:pPr>
            <w:jc w:val="center"/>
          </w:pPr>
          <w:r>
            <w:rPr>
              <w:sz w:val="18"/>
              <w:szCs w:val="18"/>
            </w:rPr>
            <w:t>©HRmonise Pty Limited</w:t>
          </w:r>
        </w:p>
      </w:tc>
      <w:tc>
        <w:tcPr>
          <w:tcW w:w="0" w:type="auto"/>
          <w:noWrap/>
        </w:tcPr>
        <w:p w14:paraId="2AC876B5" w14:textId="77777777" w:rsidR="007E5DE5" w:rsidRDefault="00FB7D88">
          <w:pPr>
            <w:jc w:val="right"/>
          </w:pPr>
          <w:r>
            <w:rPr>
              <w:sz w:val="18"/>
              <w:szCs w:val="18"/>
            </w:rP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563A0">
            <w:rPr>
              <w:noProof/>
            </w:rPr>
            <w:t>2</w:t>
          </w:r>
          <w:r>
            <w:fldChar w:fldCharType="end"/>
          </w:r>
          <w:r>
            <w:rPr>
              <w:sz w:val="18"/>
              <w:szCs w:val="18"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3563A0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98043" w14:textId="77777777" w:rsidR="00FB7D88" w:rsidRDefault="00FB7D88">
      <w:pPr>
        <w:spacing w:after="0" w:line="240" w:lineRule="auto"/>
      </w:pPr>
      <w:r>
        <w:separator/>
      </w:r>
    </w:p>
  </w:footnote>
  <w:footnote w:type="continuationSeparator" w:id="0">
    <w:p w14:paraId="2FD039FA" w14:textId="77777777" w:rsidR="00FB7D88" w:rsidRDefault="00FB7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BADB3" w14:textId="77777777" w:rsidR="007E5DE5" w:rsidRDefault="003563A0">
    <w:r>
      <w:pict w14:anchorId="2B5B7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6pt;height:39pt;mso-position-horizontal:left;mso-position-horizontal-relative:char;mso-position-vertical:top;mso-position-vertical-relative:line">
          <v:imagedata r:id="rId1" o:title=""/>
        </v:shape>
      </w:pict>
    </w:r>
  </w:p>
  <w:tbl>
    <w:tblPr>
      <w:tblW w:w="5000" w:type="pct"/>
      <w:tblBorders>
        <w:top w:val="single" w:sz="10" w:space="0" w:color="00000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71"/>
    </w:tblGrid>
    <w:tr w:rsidR="007E5DE5" w14:paraId="71DC4D65" w14:textId="77777777">
      <w:trPr>
        <w:trHeight w:hRule="exact" w:val="50"/>
      </w:trPr>
      <w:tc>
        <w:tcPr>
          <w:tcW w:w="0" w:type="auto"/>
          <w:noWrap/>
        </w:tcPr>
        <w:p w14:paraId="2DF38259" w14:textId="77777777" w:rsidR="007E5DE5" w:rsidRDefault="007E5DE5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49FF81"/>
    <w:multiLevelType w:val="hybridMultilevel"/>
    <w:tmpl w:val="751425EE"/>
    <w:lvl w:ilvl="0" w:tplc="70B8C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BF8F3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6C12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C82A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CADD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F0C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2287C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DA67B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54A4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8798A992"/>
    <w:multiLevelType w:val="hybridMultilevel"/>
    <w:tmpl w:val="04DCAF24"/>
    <w:lvl w:ilvl="0" w:tplc="9ADA4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26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A2D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B68DF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A4A6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563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7E9E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966BD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AEA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B9CA0EAE"/>
    <w:multiLevelType w:val="hybridMultilevel"/>
    <w:tmpl w:val="6EEA69F6"/>
    <w:lvl w:ilvl="0" w:tplc="7084F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8FE3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842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D34D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70CA3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52FD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5EC92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5FA59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B685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E281BCCC"/>
    <w:multiLevelType w:val="hybridMultilevel"/>
    <w:tmpl w:val="BDB44F4E"/>
    <w:lvl w:ilvl="0" w:tplc="CE984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7F26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A6C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7984A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C1C6F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A34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DF42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CD2C7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A872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D5CD4"/>
    <w:multiLevelType w:val="hybridMultilevel"/>
    <w:tmpl w:val="92787F2C"/>
    <w:lvl w:ilvl="0" w:tplc="1AE89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20F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641B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C0B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CF8E3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0A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B4C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B8C4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4EC2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3D4104"/>
    <w:multiLevelType w:val="hybridMultilevel"/>
    <w:tmpl w:val="F15C11F6"/>
    <w:lvl w:ilvl="0" w:tplc="7340F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ECAE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542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EDC4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C23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689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05A8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063A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E8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E5"/>
    <w:rsid w:val="000356D1"/>
    <w:rsid w:val="003563A0"/>
    <w:rsid w:val="004E692E"/>
    <w:rsid w:val="007E5DE5"/>
    <w:rsid w:val="008545C7"/>
    <w:rsid w:val="00F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E41F"/>
  <w15:docId w15:val="{8497F03E-1DAD-4C28-969B-6B3319CB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FJ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45BD-0DC8-433F-A4BC-F632D200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Kesaia Masivou</dc:creator>
  <cp:keywords/>
  <dc:description/>
  <cp:lastModifiedBy>Tui Marseu</cp:lastModifiedBy>
  <cp:revision>2</cp:revision>
  <dcterms:created xsi:type="dcterms:W3CDTF">2026-04-27T03:52:00Z</dcterms:created>
  <dcterms:modified xsi:type="dcterms:W3CDTF">2026-04-27T03:52:00Z</dcterms:modified>
  <cp:category/>
</cp:coreProperties>
</file>